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7F5D0EC9" w:rsidR="004800BE" w:rsidRPr="000D241A" w:rsidRDefault="00247938" w:rsidP="0036291F">
      <w:pPr>
        <w:jc w:val="right"/>
        <w:rPr>
          <w:bCs/>
        </w:rPr>
      </w:pPr>
      <w:r w:rsidRPr="000D241A">
        <w:rPr>
          <w:bCs/>
        </w:rPr>
        <w:t xml:space="preserve">                         </w:t>
      </w:r>
      <w:r w:rsidR="006426A2">
        <w:rPr>
          <w:bCs/>
        </w:rPr>
        <w:t>6</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0456B639" w:rsidR="0036291F" w:rsidRDefault="006426A2" w:rsidP="006F54F5">
      <w:pPr>
        <w:jc w:val="right"/>
      </w:pPr>
      <w:r>
        <w:rPr>
          <w:noProof/>
          <w:lang w:eastAsia="lv-LV"/>
        </w:rPr>
        <w:t>06</w:t>
      </w:r>
      <w:r w:rsidR="004628DD">
        <w:rPr>
          <w:noProof/>
          <w:lang w:eastAsia="lv-LV"/>
        </w:rPr>
        <w:t>.</w:t>
      </w:r>
      <w:r>
        <w:rPr>
          <w:noProof/>
          <w:lang w:eastAsia="lv-LV"/>
        </w:rPr>
        <w:t>07</w:t>
      </w:r>
      <w:r w:rsidR="004628DD">
        <w:rPr>
          <w:noProof/>
          <w:lang w:eastAsia="lv-LV"/>
        </w:rPr>
        <w:t>.2023</w:t>
      </w:r>
      <w:r w:rsidR="00493E0D" w:rsidRPr="00672210">
        <w:rPr>
          <w:lang w:eastAsia="lv-LV"/>
        </w:rPr>
        <w:t xml:space="preserve">. </w:t>
      </w:r>
      <w:r w:rsidR="00D914C8" w:rsidRPr="00672210">
        <w:rPr>
          <w:lang w:eastAsia="lv-LV"/>
        </w:rPr>
        <w:t xml:space="preserve">lēmumu </w:t>
      </w:r>
      <w:r w:rsidR="00AB519B">
        <w:rPr>
          <w:noProof/>
          <w:lang w:eastAsia="lv-LV"/>
        </w:rPr>
        <w:t>Nr. RN-</w:t>
      </w:r>
      <w:r w:rsidR="004628DD">
        <w:rPr>
          <w:noProof/>
          <w:lang w:eastAsia="lv-LV"/>
        </w:rPr>
        <w:t>2023</w:t>
      </w:r>
      <w:r w:rsidR="00795344">
        <w:rPr>
          <w:noProof/>
          <w:lang w:eastAsia="lv-LV"/>
        </w:rPr>
        <w:t>-25-</w:t>
      </w:r>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BE1BCD0" w:rsidR="00DA30E1" w:rsidRPr="004628DD" w:rsidRDefault="00C71C45" w:rsidP="004800BE">
      <w:pPr>
        <w:tabs>
          <w:tab w:val="left" w:pos="0"/>
          <w:tab w:val="left" w:pos="360"/>
        </w:tabs>
        <w:rPr>
          <w:color w:val="000000"/>
        </w:rPr>
      </w:pPr>
      <w:bookmarkStart w:id="0" w:name="_Hlk139467208"/>
      <w:r w:rsidRPr="00C71C45">
        <w:rPr>
          <w:color w:val="000000"/>
        </w:rPr>
        <w:t xml:space="preserve">Nekustamā </w:t>
      </w:r>
      <w:r w:rsidR="006426A2" w:rsidRPr="0078723C">
        <w:rPr>
          <w:rFonts w:eastAsia="Calibri"/>
          <w:szCs w:val="22"/>
        </w:rPr>
        <w:t>īpašuma Torņa ielā 4, Rīgā, kadastra numurs 0100 009 0065, sastāvā esošās būves – ad</w:t>
      </w:r>
      <w:r w:rsidR="006426A2" w:rsidRPr="0078723C">
        <w:rPr>
          <w:rFonts w:eastAsia="Calibri"/>
        </w:rPr>
        <w:t xml:space="preserve">ministratīvās ēkas, kadastra apzīmējums 0100 009 0065 001, telpu ar kopējo platību </w:t>
      </w:r>
      <w:r w:rsidR="006426A2" w:rsidRPr="0078723C">
        <w:rPr>
          <w:rFonts w:eastAsia="Calibri"/>
          <w:szCs w:val="22"/>
        </w:rPr>
        <w:t xml:space="preserve">90,25 </w:t>
      </w:r>
      <w:r w:rsidR="006426A2" w:rsidRPr="0078723C">
        <w:rPr>
          <w:rFonts w:eastAsia="Calibri"/>
        </w:rPr>
        <w:t>m</w:t>
      </w:r>
      <w:r w:rsidR="006426A2" w:rsidRPr="0078723C">
        <w:rPr>
          <w:rFonts w:eastAsia="Calibri"/>
          <w:vertAlign w:val="superscript"/>
        </w:rPr>
        <w:t>2</w:t>
      </w:r>
      <w:r w:rsidR="006426A2" w:rsidRPr="0078723C">
        <w:rPr>
          <w:rFonts w:eastAsia="Calibri"/>
        </w:rPr>
        <w:t xml:space="preserve">, t.sk. telpu grupas </w:t>
      </w:r>
      <w:r w:rsidR="006426A2" w:rsidRPr="0078723C">
        <w:t>029 telpu Nr. </w:t>
      </w:r>
      <w:r w:rsidR="006426A2" w:rsidRPr="0078723C">
        <w:rPr>
          <w:color w:val="000000"/>
        </w:rPr>
        <w:t xml:space="preserve">1-2 </w:t>
      </w:r>
      <w:r w:rsidR="006426A2" w:rsidRPr="0078723C">
        <w:t xml:space="preserve">ar platību 71,5 </w:t>
      </w:r>
      <w:r w:rsidR="006426A2" w:rsidRPr="0078723C">
        <w:rPr>
          <w:rFonts w:eastAsia="Calibri"/>
        </w:rPr>
        <w:t>m</w:t>
      </w:r>
      <w:r w:rsidR="006426A2" w:rsidRPr="0078723C">
        <w:rPr>
          <w:rFonts w:eastAsia="Calibri"/>
          <w:vertAlign w:val="superscript"/>
        </w:rPr>
        <w:t>2</w:t>
      </w:r>
      <w:r w:rsidR="006426A2" w:rsidRPr="0078723C">
        <w:rPr>
          <w:rFonts w:eastAsia="Calibri"/>
        </w:rPr>
        <w:t xml:space="preserve">, </w:t>
      </w:r>
      <w:r w:rsidR="006426A2" w:rsidRPr="0078723C">
        <w:t>telpu grupas 914 telpu Nr.1, 3 domājamās daļas ar platību 5,95 m</w:t>
      </w:r>
      <w:r w:rsidR="006426A2" w:rsidRPr="0078723C">
        <w:rPr>
          <w:vertAlign w:val="superscript"/>
        </w:rPr>
        <w:t xml:space="preserve">2 </w:t>
      </w:r>
      <w:r w:rsidR="006426A2" w:rsidRPr="0078723C">
        <w:rPr>
          <w:rFonts w:eastAsia="Calibri"/>
        </w:rPr>
        <w:t xml:space="preserve">un iznomājamo koplietošanas telpu domājamās daļas ar platību 12,80 </w:t>
      </w:r>
      <w:r w:rsidRPr="00C71C45">
        <w:rPr>
          <w:color w:val="000000"/>
        </w:rPr>
        <w:t xml:space="preserve"> m2</w:t>
      </w:r>
      <w:bookmarkEnd w:id="0"/>
      <w:r w:rsidR="00247938"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15B3968C"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6426A2">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1"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6B0A5D">
        <w:rPr>
          <w:lang w:val="lv-LV"/>
        </w:rPr>
        <w:t xml:space="preserve">2023. gada 24. maija rīkojumu Nr. RN-2023-79-rs/2.2 </w:t>
      </w:r>
      <w:r w:rsidRPr="006B0A5D">
        <w:t>izveidotā Nekustamā īpašuma iznomāšanas komisija (turpmāk</w:t>
      </w:r>
      <w:r w:rsidRPr="002B70E2">
        <w:t xml:space="preserve">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D93BD22"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w:t>
      </w:r>
      <w:r w:rsidR="006426A2" w:rsidRPr="0078723C">
        <w:rPr>
          <w:rFonts w:eastAsia="Calibri"/>
          <w:szCs w:val="22"/>
          <w:lang w:eastAsia="en-US"/>
        </w:rPr>
        <w:t>nekustamā īpašuma Torņa ielā 4, Rīgā, kadastra numurs 0100 009 0065, sastāvā esošās būves – ad</w:t>
      </w:r>
      <w:r w:rsidR="006426A2" w:rsidRPr="0078723C">
        <w:rPr>
          <w:rFonts w:eastAsia="Calibri"/>
          <w:lang w:eastAsia="en-US"/>
        </w:rPr>
        <w:t>ministratīvās ēkas, kadastra apzīmējums 0100 009 0065 001, telp</w:t>
      </w:r>
      <w:r w:rsidR="006426A2">
        <w:rPr>
          <w:rFonts w:eastAsia="Calibri"/>
          <w:lang w:val="lv-LV" w:eastAsia="en-US"/>
        </w:rPr>
        <w:t>ām</w:t>
      </w:r>
      <w:r w:rsidR="006426A2" w:rsidRPr="0078723C">
        <w:rPr>
          <w:rFonts w:eastAsia="Calibri"/>
          <w:lang w:eastAsia="en-US"/>
        </w:rPr>
        <w:t xml:space="preserve"> ar kopējo platību </w:t>
      </w:r>
      <w:r w:rsidR="006426A2" w:rsidRPr="0078723C">
        <w:rPr>
          <w:rFonts w:eastAsia="Calibri"/>
          <w:szCs w:val="22"/>
          <w:lang w:eastAsia="en-US"/>
        </w:rPr>
        <w:t xml:space="preserve">90,25 </w:t>
      </w:r>
      <w:r w:rsidR="006426A2" w:rsidRPr="0078723C">
        <w:rPr>
          <w:rFonts w:eastAsia="Calibri"/>
          <w:lang w:eastAsia="en-US"/>
        </w:rPr>
        <w:t>m</w:t>
      </w:r>
      <w:r w:rsidR="006426A2" w:rsidRPr="0078723C">
        <w:rPr>
          <w:rFonts w:eastAsia="Calibri"/>
          <w:vertAlign w:val="superscript"/>
          <w:lang w:eastAsia="en-US"/>
        </w:rPr>
        <w:t>2</w:t>
      </w:r>
      <w:r w:rsidR="006426A2" w:rsidRPr="0078723C">
        <w:rPr>
          <w:rFonts w:eastAsia="Calibri"/>
          <w:lang w:eastAsia="en-US"/>
        </w:rPr>
        <w:t xml:space="preserve">, t.sk. telpu grupas </w:t>
      </w:r>
      <w:r w:rsidR="006426A2" w:rsidRPr="0078723C">
        <w:t>029 telp</w:t>
      </w:r>
      <w:r w:rsidR="006426A2">
        <w:rPr>
          <w:lang w:val="lv-LV"/>
        </w:rPr>
        <w:t>ām</w:t>
      </w:r>
      <w:r w:rsidR="006426A2" w:rsidRPr="0078723C">
        <w:t xml:space="preserve"> Nr. </w:t>
      </w:r>
      <w:r w:rsidR="006426A2" w:rsidRPr="0078723C">
        <w:rPr>
          <w:color w:val="000000"/>
        </w:rPr>
        <w:t xml:space="preserve">1-2 </w:t>
      </w:r>
      <w:r w:rsidR="006426A2" w:rsidRPr="0078723C">
        <w:t xml:space="preserve">ar platību 71,5 </w:t>
      </w:r>
      <w:r w:rsidR="006426A2" w:rsidRPr="0078723C">
        <w:rPr>
          <w:rFonts w:eastAsia="Calibri"/>
          <w:lang w:eastAsia="en-US"/>
        </w:rPr>
        <w:t>m</w:t>
      </w:r>
      <w:r w:rsidR="006426A2" w:rsidRPr="0078723C">
        <w:rPr>
          <w:rFonts w:eastAsia="Calibri"/>
          <w:vertAlign w:val="superscript"/>
          <w:lang w:eastAsia="en-US"/>
        </w:rPr>
        <w:t>2</w:t>
      </w:r>
      <w:r w:rsidR="006426A2" w:rsidRPr="0078723C">
        <w:rPr>
          <w:rFonts w:eastAsia="Calibri"/>
          <w:lang w:eastAsia="en-US"/>
        </w:rPr>
        <w:t xml:space="preserve">, </w:t>
      </w:r>
      <w:r w:rsidR="006426A2" w:rsidRPr="0078723C">
        <w:t>telpu grupas 914 telpu Nr.1, 3 domājam</w:t>
      </w:r>
      <w:r w:rsidR="006426A2">
        <w:rPr>
          <w:lang w:val="lv-LV"/>
        </w:rPr>
        <w:t>o</w:t>
      </w:r>
      <w:r w:rsidR="006426A2" w:rsidRPr="0078723C">
        <w:t xml:space="preserve"> daļ</w:t>
      </w:r>
      <w:r w:rsidR="006426A2">
        <w:rPr>
          <w:lang w:val="lv-LV"/>
        </w:rPr>
        <w:t>u</w:t>
      </w:r>
      <w:r w:rsidR="006426A2" w:rsidRPr="0078723C">
        <w:t xml:space="preserve"> ar platību 5,95 m</w:t>
      </w:r>
      <w:r w:rsidR="006426A2" w:rsidRPr="0078723C">
        <w:rPr>
          <w:vertAlign w:val="superscript"/>
        </w:rPr>
        <w:t xml:space="preserve">2 </w:t>
      </w:r>
      <w:r w:rsidR="006426A2" w:rsidRPr="0078723C">
        <w:rPr>
          <w:rFonts w:eastAsia="Calibri"/>
          <w:lang w:eastAsia="en-US"/>
        </w:rPr>
        <w:t>un iznomājamo koplietošanas telpu domājam</w:t>
      </w:r>
      <w:r w:rsidR="006426A2">
        <w:rPr>
          <w:rFonts w:eastAsia="Calibri"/>
          <w:lang w:val="lv-LV" w:eastAsia="en-US"/>
        </w:rPr>
        <w:t>u</w:t>
      </w:r>
      <w:r w:rsidR="006426A2" w:rsidRPr="0078723C">
        <w:rPr>
          <w:rFonts w:eastAsia="Calibri"/>
          <w:lang w:eastAsia="en-US"/>
        </w:rPr>
        <w:t xml:space="preserve"> daļ</w:t>
      </w:r>
      <w:r w:rsidR="006426A2">
        <w:rPr>
          <w:rFonts w:eastAsia="Calibri"/>
          <w:lang w:val="lv-LV" w:eastAsia="en-US"/>
        </w:rPr>
        <w:t>u</w:t>
      </w:r>
      <w:r w:rsidR="006426A2" w:rsidRPr="0078723C">
        <w:rPr>
          <w:rFonts w:eastAsia="Calibri"/>
          <w:lang w:eastAsia="en-US"/>
        </w:rPr>
        <w:t xml:space="preserve"> ar platību 12,80 </w:t>
      </w:r>
      <w:r w:rsidR="00C71C45" w:rsidRPr="00C71C45">
        <w:rPr>
          <w:lang w:val="lv-LV"/>
        </w:rPr>
        <w:t>m</w:t>
      </w:r>
      <w:r w:rsidR="00C71C45" w:rsidRPr="00C71C45">
        <w:rPr>
          <w:vertAlign w:val="superscript"/>
          <w:lang w:val="lv-LV"/>
        </w:rPr>
        <w:t>2</w:t>
      </w:r>
      <w:r w:rsidR="00C71C45" w:rsidRPr="00C71C45">
        <w:rPr>
          <w:lang w:val="lv-LV"/>
        </w:rPr>
        <w:t xml:space="preserve"> </w:t>
      </w:r>
      <w:r w:rsidRPr="000D241A">
        <w:t>(turpmāk – Īpašums).</w:t>
      </w:r>
      <w:r w:rsidR="00ED13F0">
        <w:rPr>
          <w:lang w:val="lv-LV"/>
        </w:rPr>
        <w:t xml:space="preserve"> </w:t>
      </w:r>
    </w:p>
    <w:p w14:paraId="79B86AC7" w14:textId="59B385B3" w:rsidR="005336B2" w:rsidRPr="006426A2" w:rsidRDefault="00247938" w:rsidP="005336B2">
      <w:pPr>
        <w:numPr>
          <w:ilvl w:val="1"/>
          <w:numId w:val="35"/>
        </w:numPr>
        <w:tabs>
          <w:tab w:val="clear" w:pos="574"/>
          <w:tab w:val="num" w:pos="0"/>
        </w:tabs>
        <w:rPr>
          <w:b/>
        </w:rPr>
      </w:pPr>
      <w:r w:rsidRPr="006426A2">
        <w:rPr>
          <w:color w:val="000000"/>
        </w:rPr>
        <w:t>Īpašuma paredzētais izmantošanas veids:</w:t>
      </w:r>
      <w:bookmarkEnd w:id="1"/>
      <w:r w:rsidRPr="006426A2">
        <w:rPr>
          <w:color w:val="000000"/>
        </w:rPr>
        <w:t xml:space="preserve"> </w:t>
      </w:r>
      <w:r w:rsidR="006426A2" w:rsidRPr="006426A2">
        <w:rPr>
          <w:w w:val="101"/>
        </w:rPr>
        <w:t>Tirdzniecības telpu izvietošana un/ vai ēdināšanas pakalpojumu sniegšana.</w:t>
      </w:r>
      <w:r w:rsidR="00D709E6" w:rsidRPr="006426A2">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7453EFAA" w:rsidR="004800BE" w:rsidRPr="000D241A" w:rsidRDefault="00247938" w:rsidP="004656A4">
      <w:pPr>
        <w:numPr>
          <w:ilvl w:val="1"/>
          <w:numId w:val="35"/>
        </w:numPr>
        <w:tabs>
          <w:tab w:val="num" w:pos="0"/>
          <w:tab w:val="num" w:pos="540"/>
          <w:tab w:val="left" w:pos="720"/>
        </w:tabs>
        <w:ind w:left="567" w:hanging="567"/>
      </w:pPr>
      <w:r w:rsidRPr="000D241A">
        <w:lastRenderedPageBreak/>
        <w:t xml:space="preserve"> Izsoles drošības nauda ir </w:t>
      </w:r>
      <w:r w:rsidR="006426A2">
        <w:rPr>
          <w:b/>
          <w:color w:val="000000"/>
        </w:rPr>
        <w:t>3800</w:t>
      </w:r>
      <w:r w:rsidRPr="000D241A">
        <w:t xml:space="preserve"> </w:t>
      </w:r>
      <w:r w:rsidRPr="000D241A">
        <w:rPr>
          <w:b/>
        </w:rPr>
        <w:t>EUR</w:t>
      </w:r>
      <w:r w:rsidRPr="000D241A">
        <w:t xml:space="preserve"> (</w:t>
      </w:r>
      <w:r w:rsidR="006426A2">
        <w:rPr>
          <w:color w:val="000000"/>
        </w:rPr>
        <w:t>trīs</w:t>
      </w:r>
      <w:r w:rsidR="00AB519B">
        <w:rPr>
          <w:color w:val="000000"/>
        </w:rPr>
        <w:t xml:space="preserve"> </w:t>
      </w:r>
      <w:r w:rsidR="0029460B">
        <w:rPr>
          <w:color w:val="000000"/>
        </w:rPr>
        <w:t>tūksto</w:t>
      </w:r>
      <w:r w:rsidR="006426A2">
        <w:rPr>
          <w:color w:val="000000"/>
        </w:rPr>
        <w:t>ši</w:t>
      </w:r>
      <w:r w:rsidR="00AB519B">
        <w:rPr>
          <w:color w:val="000000"/>
        </w:rPr>
        <w:t xml:space="preserve"> </w:t>
      </w:r>
      <w:r w:rsidR="006426A2">
        <w:rPr>
          <w:color w:val="000000"/>
        </w:rPr>
        <w:t>astoņi</w:t>
      </w:r>
      <w:r w:rsidR="00F35BBF">
        <w:rPr>
          <w:color w:val="000000"/>
        </w:rPr>
        <w:t xml:space="preserve">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DCE7BDA"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6426A2">
        <w:rPr>
          <w:b/>
          <w:color w:val="000000"/>
          <w:lang w:val="lv-LV"/>
        </w:rPr>
        <w:t>7</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5AD9B70A"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795344">
        <w:t>51</w:t>
      </w:r>
      <w:r w:rsidR="00C71C45">
        <w:t>,</w:t>
      </w:r>
      <w:r w:rsidR="00795344">
        <w:t>9</w:t>
      </w:r>
      <w:r w:rsidR="00C71C45">
        <w:t>9</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795344">
        <w:t>30,92</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4A83B98" w14:textId="09C0F6C5" w:rsidR="006426A2" w:rsidRDefault="00247938" w:rsidP="004656A4">
      <w:pPr>
        <w:numPr>
          <w:ilvl w:val="1"/>
          <w:numId w:val="35"/>
        </w:numPr>
        <w:tabs>
          <w:tab w:val="num" w:pos="0"/>
          <w:tab w:val="num" w:pos="540"/>
          <w:tab w:val="num" w:pos="612"/>
        </w:tabs>
        <w:ind w:left="567" w:hanging="567"/>
      </w:pPr>
      <w:r>
        <w:t xml:space="preserve"> </w:t>
      </w:r>
      <w:r w:rsidR="006426A2" w:rsidRPr="000D3B90">
        <w:rPr>
          <w:color w:val="000000" w:themeColor="text1"/>
        </w:rPr>
        <w:t xml:space="preserve">Ne ilgāk kā </w:t>
      </w:r>
      <w:r w:rsidR="006426A2">
        <w:rPr>
          <w:color w:val="000000" w:themeColor="text1"/>
        </w:rPr>
        <w:t>2</w:t>
      </w:r>
      <w:r w:rsidR="006426A2" w:rsidRPr="000D3B90">
        <w:rPr>
          <w:color w:val="000000" w:themeColor="text1"/>
        </w:rPr>
        <w:t xml:space="preserve"> (</w:t>
      </w:r>
      <w:r w:rsidR="006426A2">
        <w:rPr>
          <w:color w:val="000000" w:themeColor="text1"/>
        </w:rPr>
        <w:t>divu</w:t>
      </w:r>
      <w:r w:rsidR="006426A2" w:rsidRPr="000D3B90">
        <w:rPr>
          <w:color w:val="000000" w:themeColor="text1"/>
        </w:rPr>
        <w:t>) mēneš</w:t>
      </w:r>
      <w:r w:rsidR="006426A2">
        <w:rPr>
          <w:color w:val="000000" w:themeColor="text1"/>
        </w:rPr>
        <w:t>u</w:t>
      </w:r>
      <w:r w:rsidR="006426A2" w:rsidRPr="000D3B90">
        <w:rPr>
          <w:color w:val="000000" w:themeColor="text1"/>
        </w:rPr>
        <w:t xml:space="preserve"> laikā no Līguma parakstīšanas dienas Nomnieks veic Telpu apsekošanas un pielāgošanas darbus, lai Telpas varētu izmantot Līgumā noteiktajam Īpašuma lietošanas mērķim, parakstot attiecīgu Telpu apsekošanas aktu Telpu apsekošanas u</w:t>
      </w:r>
      <w:r w:rsidR="006426A2">
        <w:rPr>
          <w:color w:val="000000" w:themeColor="text1"/>
        </w:rPr>
        <w:t>n pielāgošanas darbu veikšanai.</w:t>
      </w:r>
    </w:p>
    <w:p w14:paraId="1E0EAE08" w14:textId="1DD8790A" w:rsidR="004800BE" w:rsidRDefault="0024793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lastRenderedPageBreak/>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271A75C9"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6426A2">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DF4E4B"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reģistrētiem pretendentiem un to skaitu netiek izpausta līdz pieteikumu </w:t>
      </w:r>
      <w:r w:rsidRPr="00DF4E4B">
        <w:rPr>
          <w:lang w:val="lv-LV"/>
        </w:rPr>
        <w:t>atvēršanas sanāksmei.</w:t>
      </w:r>
      <w:bookmarkStart w:id="5" w:name="_Toc170542688"/>
      <w:bookmarkStart w:id="6" w:name="_Toc170543736"/>
      <w:bookmarkStart w:id="7" w:name="_Toc170543978"/>
    </w:p>
    <w:p w14:paraId="67EDDE2A" w14:textId="69141603" w:rsidR="004800BE" w:rsidRPr="00DF4E4B" w:rsidRDefault="00247938" w:rsidP="0048106F">
      <w:pPr>
        <w:pStyle w:val="ListParagraph"/>
        <w:numPr>
          <w:ilvl w:val="1"/>
          <w:numId w:val="35"/>
        </w:numPr>
        <w:tabs>
          <w:tab w:val="clear" w:pos="574"/>
          <w:tab w:val="num" w:pos="0"/>
        </w:tabs>
        <w:ind w:hanging="574"/>
        <w:jc w:val="both"/>
        <w:rPr>
          <w:lang w:val="lv-LV"/>
        </w:rPr>
      </w:pPr>
      <w:r w:rsidRPr="00DF4E4B">
        <w:rPr>
          <w:lang w:val="lv-LV"/>
        </w:rPr>
        <w:t xml:space="preserve">Iesniegto pieteikumu atvēršanas sanāksme notiks </w:t>
      </w:r>
      <w:r w:rsidR="00EC1011" w:rsidRPr="00DF4E4B">
        <w:rPr>
          <w:lang w:val="lv-LV"/>
        </w:rPr>
        <w:t xml:space="preserve">2023. gada </w:t>
      </w:r>
      <w:r w:rsidR="00AA1343" w:rsidRPr="00DF4E4B">
        <w:rPr>
          <w:lang w:val="lv-LV"/>
        </w:rPr>
        <w:t>19.jūlija</w:t>
      </w:r>
      <w:r w:rsidR="00EC1011" w:rsidRPr="00DF4E4B">
        <w:t xml:space="preserve"> </w:t>
      </w:r>
      <w:r w:rsidR="00EC1011" w:rsidRPr="00DF4E4B">
        <w:rPr>
          <w:lang w:val="lv-LV"/>
        </w:rPr>
        <w:t>plkst. </w:t>
      </w:r>
      <w:r w:rsidR="00DF4E4B" w:rsidRPr="00DF4E4B">
        <w:rPr>
          <w:lang w:val="lv-LV"/>
        </w:rPr>
        <w:t>15</w:t>
      </w:r>
      <w:r w:rsidR="00AA1343" w:rsidRPr="00DF4E4B">
        <w:rPr>
          <w:lang w:val="lv-LV"/>
        </w:rPr>
        <w:t>.</w:t>
      </w:r>
      <w:r w:rsidR="00DF4E4B" w:rsidRPr="00DF4E4B">
        <w:rPr>
          <w:lang w:val="lv-LV"/>
        </w:rPr>
        <w:t>45</w:t>
      </w:r>
      <w:r w:rsidR="00EC1011" w:rsidRPr="00DF4E4B">
        <w:rPr>
          <w:lang w:val="lv-LV"/>
        </w:rPr>
        <w:t xml:space="preserve">, </w:t>
      </w:r>
      <w:r w:rsidR="00EC1011" w:rsidRPr="00DF4E4B">
        <w:t>Nēģu ielā 7, Rīgā</w:t>
      </w:r>
      <w:r w:rsidR="00EC1011" w:rsidRPr="00DF4E4B">
        <w:rPr>
          <w:lang w:val="lv-LV"/>
        </w:rPr>
        <w:t>, SIA „Rīgas nami” biroja telpās</w:t>
      </w:r>
      <w:r w:rsidRPr="00DF4E4B">
        <w:rPr>
          <w:lang w:val="lv-LV"/>
        </w:rPr>
        <w:t xml:space="preserve">. </w:t>
      </w:r>
    </w:p>
    <w:p w14:paraId="4CDC5E50" w14:textId="3550E876" w:rsidR="006B2A75" w:rsidRPr="00DF4E4B" w:rsidRDefault="00247938" w:rsidP="00F13A19">
      <w:pPr>
        <w:pStyle w:val="ListParagraph"/>
        <w:numPr>
          <w:ilvl w:val="1"/>
          <w:numId w:val="35"/>
        </w:numPr>
        <w:tabs>
          <w:tab w:val="clear" w:pos="574"/>
          <w:tab w:val="num" w:pos="0"/>
        </w:tabs>
        <w:ind w:hanging="574"/>
        <w:jc w:val="both"/>
        <w:rPr>
          <w:lang w:val="lv-LV"/>
        </w:rPr>
      </w:pPr>
      <w:r w:rsidRPr="00DF4E4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DF4E4B" w:rsidRDefault="004800BE" w:rsidP="004800BE">
      <w:pPr>
        <w:tabs>
          <w:tab w:val="left" w:pos="540"/>
        </w:tabs>
        <w:ind w:left="-142" w:firstLine="142"/>
        <w:jc w:val="center"/>
        <w:rPr>
          <w:b/>
        </w:rPr>
      </w:pPr>
    </w:p>
    <w:p w14:paraId="7692B3D7" w14:textId="6B392202" w:rsidR="004800BE" w:rsidRPr="00DF4E4B" w:rsidRDefault="00247938" w:rsidP="003F6118">
      <w:pPr>
        <w:pStyle w:val="ListParagraph"/>
        <w:numPr>
          <w:ilvl w:val="0"/>
          <w:numId w:val="35"/>
        </w:numPr>
        <w:tabs>
          <w:tab w:val="left" w:pos="540"/>
        </w:tabs>
        <w:jc w:val="center"/>
        <w:rPr>
          <w:b/>
          <w:lang w:val="lv-LV"/>
        </w:rPr>
      </w:pPr>
      <w:r w:rsidRPr="00DF4E4B">
        <w:rPr>
          <w:b/>
          <w:lang w:val="lv-LV"/>
        </w:rPr>
        <w:t>Izsoles norise un nomas līguma slēgšana</w:t>
      </w:r>
    </w:p>
    <w:p w14:paraId="750A4646" w14:textId="77777777" w:rsidR="004800BE" w:rsidRPr="00DF4E4B" w:rsidRDefault="004800BE" w:rsidP="004800BE">
      <w:pPr>
        <w:tabs>
          <w:tab w:val="left" w:pos="540"/>
        </w:tabs>
        <w:ind w:left="-142" w:firstLine="142"/>
        <w:rPr>
          <w:b/>
        </w:rPr>
      </w:pPr>
    </w:p>
    <w:p w14:paraId="56924F4D" w14:textId="131A4F86" w:rsidR="00010A90" w:rsidRPr="00DF4E4B" w:rsidRDefault="00247938" w:rsidP="00010A90">
      <w:pPr>
        <w:pStyle w:val="ListParagraph"/>
        <w:numPr>
          <w:ilvl w:val="1"/>
          <w:numId w:val="35"/>
        </w:numPr>
        <w:tabs>
          <w:tab w:val="clear" w:pos="574"/>
          <w:tab w:val="num" w:pos="0"/>
        </w:tabs>
        <w:ind w:hanging="574"/>
        <w:jc w:val="both"/>
        <w:rPr>
          <w:lang w:val="lv-LV"/>
        </w:rPr>
      </w:pPr>
      <w:r w:rsidRPr="00DF4E4B">
        <w:rPr>
          <w:lang w:val="lv-LV"/>
        </w:rPr>
        <w:t xml:space="preserve">Mutiska </w:t>
      </w:r>
      <w:r w:rsidRPr="00DF4E4B">
        <w:rPr>
          <w:b/>
          <w:lang w:val="lv-LV"/>
        </w:rPr>
        <w:t xml:space="preserve">izsole notiek </w:t>
      </w:r>
      <w:r w:rsidR="00EC1011" w:rsidRPr="00DF4E4B">
        <w:rPr>
          <w:b/>
        </w:rPr>
        <w:t xml:space="preserve">2023. gada </w:t>
      </w:r>
      <w:r w:rsidR="00AA1343" w:rsidRPr="00DF4E4B">
        <w:rPr>
          <w:b/>
          <w:lang w:val="lv-LV"/>
        </w:rPr>
        <w:t>20.jūlijā</w:t>
      </w:r>
      <w:r w:rsidR="00EC1011" w:rsidRPr="00DF4E4B">
        <w:t xml:space="preserve"> </w:t>
      </w:r>
      <w:r w:rsidR="00EC1011" w:rsidRPr="00DF4E4B">
        <w:rPr>
          <w:b/>
        </w:rPr>
        <w:t>plkst. </w:t>
      </w:r>
      <w:r w:rsidR="00EC1011" w:rsidRPr="00DF4E4B">
        <w:rPr>
          <w:b/>
          <w:lang w:val="lv-LV"/>
        </w:rPr>
        <w:t>11</w:t>
      </w:r>
      <w:r w:rsidR="00EC1011" w:rsidRPr="00DF4E4B">
        <w:rPr>
          <w:b/>
        </w:rPr>
        <w:t>.</w:t>
      </w:r>
      <w:r w:rsidR="006B0A5D" w:rsidRPr="00DF4E4B">
        <w:rPr>
          <w:b/>
          <w:lang w:val="lv-LV"/>
        </w:rPr>
        <w:t>0</w:t>
      </w:r>
      <w:r w:rsidR="00EC1011" w:rsidRPr="00DF4E4B">
        <w:rPr>
          <w:b/>
        </w:rPr>
        <w:t>0</w:t>
      </w:r>
      <w:r w:rsidR="00EC1011" w:rsidRPr="00DF4E4B">
        <w:rPr>
          <w:lang w:val="lv-LV"/>
        </w:rPr>
        <w:t xml:space="preserve">, </w:t>
      </w:r>
      <w:r w:rsidR="00EC1011" w:rsidRPr="00DF4E4B">
        <w:t>SIA „Rīgas nami” biroja telpās Nēģu ielā 7, Rīgā, 2.stāvā, 2.kabinetā</w:t>
      </w:r>
      <w:r w:rsidRPr="00DF4E4B">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DF4E4B">
        <w:rPr>
          <w:lang w:val="lv-LV"/>
        </w:rPr>
        <w:t>Izsole ir atklāta. Pretendentiem jāierodas uz izsoles</w:t>
      </w:r>
      <w:r w:rsidRPr="000D241A">
        <w:rPr>
          <w:lang w:val="lv-LV"/>
        </w:rPr>
        <w:t xml:space="preserve">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w:t>
      </w:r>
      <w:r w:rsidRPr="000D241A">
        <w:rPr>
          <w:lang w:val="lv-LV"/>
        </w:rPr>
        <w:lastRenderedPageBreak/>
        <w:t xml:space="preserve">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nav </w:t>
      </w:r>
      <w:r w:rsidRPr="000D241A">
        <w:rPr>
          <w:lang w:val="lv-LV"/>
        </w:rPr>
        <w:lastRenderedPageBreak/>
        <w:t>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w:t>
      </w:r>
      <w:r w:rsidRPr="000D241A">
        <w:rPr>
          <w:lang w:val="lv-LV"/>
        </w:rPr>
        <w:lastRenderedPageBreak/>
        <w:t xml:space="preserve">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F333441"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ED076F">
        <w:rPr>
          <w:color w:val="000000"/>
        </w:rPr>
        <w:t>90</w:t>
      </w:r>
      <w:r w:rsidR="001F4240" w:rsidRPr="001F4240">
        <w:rPr>
          <w:color w:val="000000"/>
        </w:rPr>
        <w:t>,</w:t>
      </w:r>
      <w:r w:rsidR="00ED076F">
        <w:rPr>
          <w:color w:val="000000"/>
        </w:rPr>
        <w:t>25</w:t>
      </w:r>
      <w:r w:rsidR="001F4240" w:rsidRPr="001F4240">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9F36B5C" w:rsidR="004800BE" w:rsidRPr="00ED076F" w:rsidRDefault="001F4240" w:rsidP="001374CE">
      <w:pPr>
        <w:tabs>
          <w:tab w:val="num" w:pos="540"/>
        </w:tabs>
        <w:ind w:right="-2"/>
        <w:rPr>
          <w:lang w:eastAsia="lv-LV"/>
        </w:rPr>
      </w:pPr>
      <w:r w:rsidRPr="00ED076F">
        <w:rPr>
          <w:lang w:eastAsia="lv-LV"/>
        </w:rPr>
        <w:t>Nekustamā īpašuma Torņa ielā 4, Rīgā, kadastra numurs 0100 009 0065, sastāvā esošās būves – administratīvās ēkas, kadastra apzīmējums 0100 009 0065 001, telp</w:t>
      </w:r>
      <w:r w:rsidR="00DF4E4B">
        <w:rPr>
          <w:lang w:eastAsia="lv-LV"/>
        </w:rPr>
        <w:t>as</w:t>
      </w:r>
      <w:r w:rsidRPr="00ED076F">
        <w:rPr>
          <w:lang w:eastAsia="lv-LV"/>
        </w:rPr>
        <w:t xml:space="preserve"> ar kopējo platību </w:t>
      </w:r>
      <w:bookmarkStart w:id="8" w:name="_Hlk139469303"/>
      <w:r w:rsidR="00ED076F" w:rsidRPr="00ED076F">
        <w:rPr>
          <w:lang w:eastAsia="lv-LV"/>
        </w:rPr>
        <w:t>90</w:t>
      </w:r>
      <w:r w:rsidRPr="00ED076F">
        <w:rPr>
          <w:lang w:eastAsia="lv-LV"/>
        </w:rPr>
        <w:t>,</w:t>
      </w:r>
      <w:r w:rsidR="00ED076F" w:rsidRPr="00ED076F">
        <w:rPr>
          <w:lang w:eastAsia="lv-LV"/>
        </w:rPr>
        <w:t>25</w:t>
      </w:r>
      <w:r w:rsidRPr="00ED076F">
        <w:rPr>
          <w:lang w:eastAsia="lv-LV"/>
        </w:rPr>
        <w:t xml:space="preserve">  </w:t>
      </w:r>
      <w:bookmarkEnd w:id="8"/>
      <w:r w:rsidRPr="00ED076F">
        <w:rPr>
          <w:lang w:eastAsia="lv-LV"/>
        </w:rPr>
        <w:t>m</w:t>
      </w:r>
      <w:r w:rsidRPr="00ED076F">
        <w:rPr>
          <w:vertAlign w:val="superscript"/>
          <w:lang w:eastAsia="lv-LV"/>
        </w:rPr>
        <w:t>2</w:t>
      </w:r>
      <w:r w:rsidRPr="00ED076F">
        <w:rPr>
          <w:lang w:eastAsia="lv-LV"/>
        </w:rPr>
        <w:t xml:space="preserve">, t.sk. </w:t>
      </w:r>
      <w:r w:rsidR="00ED076F" w:rsidRPr="00ED076F">
        <w:t>telpu grupas 029 telp</w:t>
      </w:r>
      <w:r w:rsidR="00ED076F">
        <w:t>as</w:t>
      </w:r>
      <w:r w:rsidR="00ED076F" w:rsidRPr="00ED076F">
        <w:t xml:space="preserve"> Nr. </w:t>
      </w:r>
      <w:r w:rsidR="00ED076F" w:rsidRPr="00ED076F">
        <w:rPr>
          <w:color w:val="000000"/>
        </w:rPr>
        <w:t xml:space="preserve">1-2 </w:t>
      </w:r>
      <w:r w:rsidR="00ED076F" w:rsidRPr="00ED076F">
        <w:t xml:space="preserve">ar platību 71,5 </w:t>
      </w:r>
      <w:r w:rsidR="00ED076F" w:rsidRPr="00ED076F">
        <w:rPr>
          <w:rFonts w:eastAsia="Calibri"/>
        </w:rPr>
        <w:t>m</w:t>
      </w:r>
      <w:r w:rsidR="00ED076F" w:rsidRPr="00ED076F">
        <w:rPr>
          <w:rFonts w:eastAsia="Calibri"/>
          <w:vertAlign w:val="superscript"/>
        </w:rPr>
        <w:t>2</w:t>
      </w:r>
      <w:r w:rsidR="00ED076F" w:rsidRPr="00ED076F">
        <w:rPr>
          <w:rFonts w:eastAsia="Calibri"/>
        </w:rPr>
        <w:t xml:space="preserve">, </w:t>
      </w:r>
      <w:r w:rsidR="00ED076F" w:rsidRPr="00ED076F">
        <w:t>telpu grupas 914 telpu Nr.1, 3 domājamā daļa ar platību 5,95 m</w:t>
      </w:r>
      <w:r w:rsidR="00ED076F" w:rsidRPr="00ED076F">
        <w:rPr>
          <w:vertAlign w:val="superscript"/>
        </w:rPr>
        <w:t xml:space="preserve">2 </w:t>
      </w:r>
      <w:r w:rsidR="00ED076F" w:rsidRPr="00ED076F">
        <w:rPr>
          <w:rFonts w:eastAsia="Calibri"/>
        </w:rPr>
        <w:t>un iznomājamo koplietošanas telpu domājamā daļa ar platību 12,80 </w:t>
      </w:r>
      <w:r w:rsidRPr="00ED076F">
        <w:rPr>
          <w:lang w:eastAsia="lv-LV"/>
        </w:rPr>
        <w:t>m</w:t>
      </w:r>
      <w:r w:rsidRPr="00ED076F">
        <w:rPr>
          <w:vertAlign w:val="superscript"/>
          <w:lang w:eastAsia="lv-LV"/>
        </w:rPr>
        <w:t>2</w:t>
      </w:r>
      <w:r w:rsidR="00247938" w:rsidRPr="00ED076F">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4240"/>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47E6"/>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26A2"/>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0A5D"/>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5344"/>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4E4B"/>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076F"/>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19593</Words>
  <Characters>11169</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Antra Spriņģe</cp:lastModifiedBy>
  <cp:revision>2</cp:revision>
  <cp:lastPrinted>2018-05-22T11:15:00Z</cp:lastPrinted>
  <dcterms:created xsi:type="dcterms:W3CDTF">2023-07-11T08:01:00Z</dcterms:created>
  <dcterms:modified xsi:type="dcterms:W3CDTF">2023-07-11T08:01:00Z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